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090" w:rsidRPr="005E0090" w:rsidRDefault="005E0090" w:rsidP="005E0090">
      <w:pPr>
        <w:ind w:left="360" w:firstLine="0"/>
        <w:jc w:val="left"/>
        <w:rPr>
          <w:rFonts w:eastAsia="Times New Roman" w:cs="Times New Roman"/>
          <w:sz w:val="24"/>
          <w:szCs w:val="20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426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«</w:t>
      </w:r>
      <w:r w:rsidR="001C5C1D">
        <w:rPr>
          <w:rFonts w:eastAsia="Times New Roman" w:cs="Times New Roman"/>
          <w:szCs w:val="28"/>
          <w:lang w:eastAsia="ru-RU"/>
        </w:rPr>
        <w:t xml:space="preserve">РАСЧЕТ И </w:t>
      </w:r>
      <w:bookmarkStart w:id="0" w:name="_GoBack"/>
      <w:bookmarkEnd w:id="0"/>
      <w:r w:rsidRPr="005E0090">
        <w:rPr>
          <w:rFonts w:eastAsia="Times New Roman" w:cs="Times New Roman"/>
          <w:szCs w:val="28"/>
          <w:lang w:eastAsia="ru-RU"/>
        </w:rPr>
        <w:t>АНАЛИЗ ТРАВМАТИЗМА СТАТИСТИЧЕСКИМ МЕТОДОМ»</w:t>
      </w:r>
    </w:p>
    <w:p w:rsidR="005E0090" w:rsidRPr="005E0090" w:rsidRDefault="005E0090" w:rsidP="005E0090">
      <w:pPr>
        <w:tabs>
          <w:tab w:val="left" w:pos="142"/>
        </w:tabs>
        <w:ind w:firstLine="426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left="585"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5E0090">
        <w:rPr>
          <w:rFonts w:eastAsia="Times New Roman" w:cs="Times New Roman"/>
          <w:b/>
          <w:szCs w:val="28"/>
          <w:lang w:eastAsia="ru-RU"/>
        </w:rPr>
        <w:t xml:space="preserve">5.1 Цель </w:t>
      </w:r>
    </w:p>
    <w:p w:rsidR="005E0090" w:rsidRPr="005E0090" w:rsidRDefault="005E0090" w:rsidP="005E0090">
      <w:pPr>
        <w:tabs>
          <w:tab w:val="left" w:pos="142"/>
        </w:tabs>
        <w:ind w:left="945" w:firstLine="0"/>
        <w:rPr>
          <w:rFonts w:eastAsia="Times New Roman" w:cs="Times New Roman"/>
          <w:b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Ознакомление со статистическим методом анализа травматизма, заполнение таблицы и построение графиков распределения несчастных случаев по разным параметрам.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left="945"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5E0090">
        <w:rPr>
          <w:rFonts w:eastAsia="Times New Roman" w:cs="Times New Roman"/>
          <w:b/>
          <w:szCs w:val="28"/>
          <w:lang w:eastAsia="ru-RU"/>
        </w:rPr>
        <w:t>5.2 Краткие теоретические сведения</w:t>
      </w:r>
    </w:p>
    <w:p w:rsidR="005E0090" w:rsidRPr="005E0090" w:rsidRDefault="005E0090" w:rsidP="005E0090">
      <w:pPr>
        <w:tabs>
          <w:tab w:val="left" w:pos="142"/>
        </w:tabs>
        <w:ind w:left="945" w:firstLine="0"/>
        <w:rPr>
          <w:rFonts w:eastAsia="Times New Roman" w:cs="Times New Roman"/>
          <w:b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Исходным  материалом  служит  первичный  документ‚  это акт  о  несчастном  случае  составленный  по  форме  Н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1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и  Н2‚  а  также  акты  расследования  групповых  случаев  и  с  тяжелым  исходом.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Прежде  чем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приступить  к  анализу  надо  провести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тщательную  проверку  и  подготовку  первичных  документов.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Подготовка  состоит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из</w:t>
      </w:r>
      <w:proofErr w:type="gramEnd"/>
      <w:r w:rsidRPr="005E0090">
        <w:rPr>
          <w:rFonts w:eastAsia="Times New Roman" w:cs="Times New Roman"/>
          <w:szCs w:val="28"/>
          <w:lang w:eastAsia="ru-RU"/>
        </w:rPr>
        <w:t>:</w:t>
      </w:r>
    </w:p>
    <w:p w:rsidR="005E0090" w:rsidRPr="005E0090" w:rsidRDefault="005E0090" w:rsidP="005E0090">
      <w:pPr>
        <w:numPr>
          <w:ilvl w:val="0"/>
          <w:numId w:val="1"/>
        </w:num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проверка  полноты  учета  несчастного  случая  на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производстве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а  именно  для  этого  акты  о  несчастных  случаях  сверяют  с  имеющимися  в  бухгалтерии  больничными  листками  знакомятся  с  диагнозами  в  больничных  листках‚  а  это  позволяет  установить  нет  ли  скрытых  несчастных  случаев;</w:t>
      </w:r>
    </w:p>
    <w:p w:rsidR="005E0090" w:rsidRPr="005E0090" w:rsidRDefault="005E0090" w:rsidP="005E0090">
      <w:pPr>
        <w:numPr>
          <w:ilvl w:val="0"/>
          <w:numId w:val="1"/>
        </w:num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проверяется  достоверность  изложения  в  актах  факторов‚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запись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которая  вызывает  сомнения‚  проверяется  на  месте  где  был  несчастный  случай;</w:t>
      </w:r>
    </w:p>
    <w:p w:rsidR="005E0090" w:rsidRPr="005E0090" w:rsidRDefault="005E0090" w:rsidP="005E0090">
      <w:pPr>
        <w:numPr>
          <w:ilvl w:val="0"/>
          <w:numId w:val="1"/>
        </w:num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проверяется  правильность  заполнения  наиболее  важных  для  анализа актах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факторов</w:t>
      </w:r>
      <w:proofErr w:type="gramEnd"/>
      <w:r w:rsidRPr="005E0090">
        <w:rPr>
          <w:rFonts w:eastAsia="Times New Roman" w:cs="Times New Roman"/>
          <w:szCs w:val="28"/>
          <w:lang w:eastAsia="ru-RU"/>
        </w:rPr>
        <w:t>‚  а  именно  содержания  описания  обстоятельств  и  причин  несчастного  случая‚  при  неточном  или  неправильном  заполнении  этих  пунктов  делаются  неправильные  выводы  и  невозможно  провести  эффективные  мероприятия  по  устранению  причин  травматизма;</w:t>
      </w:r>
    </w:p>
    <w:p w:rsidR="005E0090" w:rsidRPr="005E0090" w:rsidRDefault="005E0090" w:rsidP="005E0090">
      <w:pPr>
        <w:numPr>
          <w:ilvl w:val="0"/>
          <w:numId w:val="1"/>
        </w:numPr>
        <w:tabs>
          <w:tab w:val="left" w:pos="708"/>
        </w:tabs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группировка  материалов  изложенных  в  актах  по  однородному  признаку  проводится  в  целом  по  предприятию  и  по  подразделению‚  по  полу  пострадавших‚  по  возрасту‚  стажу‚  производственным  факторам‚  по  виду  выполняемых  работ‚  времени  происшествия‚  степени  и  длительности  нетрудоспособности  по  причинам  травматизма;</w:t>
      </w:r>
    </w:p>
    <w:p w:rsidR="005E0090" w:rsidRPr="005E0090" w:rsidRDefault="005E0090" w:rsidP="005E0090">
      <w:pPr>
        <w:numPr>
          <w:ilvl w:val="0"/>
          <w:numId w:val="1"/>
        </w:num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подготовка  актов  расследования  в  случаях  травматизма  с  тяжелым  исходом‚  при  этом  обследуют  производство‚  оборудование‚  правильность  организации  рабочего  места‚  изучают  обстановку  в  которой   произошел  несчастный  случай.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lastRenderedPageBreak/>
        <w:t>На  основании  этих  пунктов  подготавливаются  отчеты  о  несчастных  случаях  в  определенной  форме.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Для  оценки  уровня  травматизма  используют  относительные  статистические  показатели  частоты  и  тяжести  травматизма‚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Коэффициент частоты  показывает  количество  несчастных  случаев  на  1000  работающих  за  отчетный  период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87E69E6" wp14:editId="34B1812F">
                <wp:simplePos x="0" y="0"/>
                <wp:positionH relativeFrom="column">
                  <wp:posOffset>1291590</wp:posOffset>
                </wp:positionH>
                <wp:positionV relativeFrom="page">
                  <wp:posOffset>10332720</wp:posOffset>
                </wp:positionV>
                <wp:extent cx="0" cy="0"/>
                <wp:effectExtent l="5715" t="7620" r="13335" b="1143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101.7pt,813.6pt" to="101.7pt,8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" o:allowincell="f">
                <w10:wrap type="topAndBottom" anchory="page"/>
              </v:line>
            </w:pict>
          </mc:Fallback>
        </mc:AlternateContent>
      </w:r>
      <w:r w:rsidRPr="005E0090">
        <w:rPr>
          <w:rFonts w:eastAsia="Times New Roman" w:cs="Times New Roman"/>
          <w:szCs w:val="28"/>
          <w:lang w:eastAsia="ru-RU"/>
        </w:rPr>
        <w:t xml:space="preserve">                    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proofErr w:type="spellStart"/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ч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>=n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1000/p                                     (4)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 n – количество  несчастных  случаев  за  период;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Коэффициент  тяжести  это  количество  дней  нетрудоспособности  на  один  несчастный  случай  за  отчетный  период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vertAlign w:val="subscript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Т</w:t>
      </w:r>
      <w:r w:rsidRPr="005E0090">
        <w:rPr>
          <w:rFonts w:eastAsia="Times New Roman" w:cs="Times New Roman"/>
          <w:szCs w:val="28"/>
          <w:lang w:eastAsia="ru-RU"/>
        </w:rPr>
        <w:t>=Т/n                                               (5)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 xml:space="preserve"> Т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– суммарное  количество  дней  временной  нетрудоспособности;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n –  количество  несчастных  случаев.   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Данный  коэффициент  не полностью  отражает  тяжесть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травматизма</w:t>
      </w:r>
      <w:proofErr w:type="gramEnd"/>
      <w:r w:rsidRPr="005E0090">
        <w:rPr>
          <w:rFonts w:eastAsia="Times New Roman" w:cs="Times New Roman"/>
          <w:szCs w:val="28"/>
          <w:lang w:eastAsia="ru-RU"/>
        </w:rPr>
        <w:t>‚  так  как он  не  учитывает  инвалидные  случаи  и  случаи  со  смертельным  исходом.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Оба  коэффициента  определяют  средний  уровень  нетрудоспособности.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Для  более  объективной  оценки  уровня  производственного  травматизма  применяют  показатель  общего  травматизма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proofErr w:type="spellStart"/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общ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>=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ч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Т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>=Т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1000/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р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                       (6)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где 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ч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 xml:space="preserve"> – коэффициент частоты;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Кт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 xml:space="preserve"> – коэффициент  тяжести;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Т – суммарное  количество  дней  временной  нетрудоспособности;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Для  определения  уровня  травматизма  с  инвалидными  и  смертельными  исходами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принят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СИ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СИ</w:t>
      </w:r>
      <w:r w:rsidRPr="005E0090">
        <w:rPr>
          <w:rFonts w:eastAsia="Times New Roman" w:cs="Times New Roman"/>
          <w:szCs w:val="28"/>
          <w:lang w:eastAsia="ru-RU"/>
        </w:rPr>
        <w:t>=С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100/n                                        (7)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 n – количество  несчастных  случаев  за  период;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С – несчастные случаи с инвалидными  и  смертельными  исходами.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lastRenderedPageBreak/>
        <w:t>Оценку  уровня  травматизма  нужно  производить  по  всем  этим  показателям,  используя  группировку  несчастных  случаев.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Таким  же  образом  быть  вычислены  показатели  частоты  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травмирования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 xml:space="preserve">  с  утратой  трудоспособности  на  1 – 3  дня.  Показатель частоты  перевода  пострадавших  с  одной  работы  на  другую  на  1  рабочий  день  и  более.  Показателей  нетрудоспособности,  материальных  последствий  травматизма  и  затрат  на  предупреждение  несчастных  случаев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Показатель  нетрудоспособности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u w:val="single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proofErr w:type="gramStart"/>
      <w:r w:rsidRPr="005E0090">
        <w:rPr>
          <w:rFonts w:eastAsia="Times New Roman" w:cs="Times New Roman"/>
          <w:szCs w:val="28"/>
          <w:lang w:eastAsia="ru-RU"/>
        </w:rPr>
        <w:t>П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Н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=Д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1000/р                                 (8)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 xml:space="preserve"> Д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– число  человека  дней  нетрудоспособности  у  пострадавшего;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Показатель  материальных  последствий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  <w:r w:rsidRPr="005E0090">
        <w:rPr>
          <w:rFonts w:eastAsia="Times New Roman" w:cs="Times New Roman"/>
          <w:szCs w:val="28"/>
          <w:lang w:eastAsia="ru-RU"/>
        </w:rPr>
        <w:t xml:space="preserve"> 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 xml:space="preserve">М </w:t>
      </w:r>
      <w:r w:rsidRPr="005E0090">
        <w:rPr>
          <w:rFonts w:eastAsia="Times New Roman" w:cs="Times New Roman"/>
          <w:szCs w:val="28"/>
          <w:lang w:eastAsia="ru-RU"/>
        </w:rPr>
        <w:t>= М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3</w:t>
      </w:r>
      <w:r w:rsidRPr="005E0090">
        <w:rPr>
          <w:rFonts w:eastAsia="Times New Roman" w:cs="Times New Roman"/>
          <w:szCs w:val="28"/>
          <w:lang w:eastAsia="ru-RU"/>
        </w:rPr>
        <w:t>×1000/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р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                              (9)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 М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 xml:space="preserve">3 </w:t>
      </w:r>
      <w:r w:rsidRPr="005E0090">
        <w:rPr>
          <w:rFonts w:eastAsia="Times New Roman" w:cs="Times New Roman"/>
          <w:szCs w:val="28"/>
          <w:lang w:eastAsia="ru-RU"/>
        </w:rPr>
        <w:t>– материальные  последствия,  несчастного  случая,  за  отчетный  период  в  тенге;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Показатель  затрат  на  предупреждение  несчастных  случаев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3</w:t>
      </w:r>
      <w:r w:rsidRPr="005E0090">
        <w:rPr>
          <w:rFonts w:eastAsia="Times New Roman" w:cs="Times New Roman"/>
          <w:szCs w:val="28"/>
          <w:lang w:eastAsia="ru-RU"/>
        </w:rPr>
        <w:t xml:space="preserve"> = 3×1000/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р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                                  (10)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 3 – затраты  на  предупреждение  несчастных  случаев  в  период;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left="945"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5E0090">
        <w:rPr>
          <w:rFonts w:eastAsia="Times New Roman" w:cs="Times New Roman"/>
          <w:b/>
          <w:szCs w:val="28"/>
          <w:lang w:eastAsia="ru-RU"/>
        </w:rPr>
        <w:t>5.3 Статистические  таблицы</w:t>
      </w:r>
    </w:p>
    <w:p w:rsidR="005E0090" w:rsidRPr="005E0090" w:rsidRDefault="005E0090" w:rsidP="005E0090">
      <w:pPr>
        <w:tabs>
          <w:tab w:val="left" w:pos="142"/>
        </w:tabs>
        <w:ind w:left="945" w:firstLine="0"/>
        <w:rPr>
          <w:rFonts w:eastAsia="Times New Roman" w:cs="Times New Roman"/>
          <w:b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При  данном  методе,  при  наличии  несчастных  случаев  по  однородным  признакам составляется  в  статистические  таблицы,  которые  имеют  три  направления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5.3.1. Первое направление: число несчастных случаев с утратой трудоспособности.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Первое направление  включает  данные  о  числе  несчастных  случаев  по  длительности  нетрудоспособности  или  ее  можно  использовать  по  распределению  травм   по возрасту  пострадавшего.  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b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5.3.2  Второе направление: группировка несчастных случаев по одному признаку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sym w:font="Symbol" w:char="F02E"/>
      </w:r>
      <w:r w:rsidRPr="005E0090">
        <w:rPr>
          <w:rFonts w:eastAsia="Times New Roman" w:cs="Times New Roman"/>
          <w:szCs w:val="28"/>
          <w:lang w:eastAsia="ru-RU"/>
        </w:rPr>
        <w:t xml:space="preserve"> Н</w:t>
      </w:r>
      <w:proofErr w:type="gramEnd"/>
      <w:r w:rsidRPr="005E0090">
        <w:rPr>
          <w:rFonts w:eastAsia="Times New Roman" w:cs="Times New Roman"/>
          <w:szCs w:val="28"/>
          <w:lang w:eastAsia="ru-RU"/>
        </w:rPr>
        <w:t>апример  распределение несчастных случаев по длительности и по профессии</w:t>
      </w:r>
      <w:r w:rsidRPr="005E0090">
        <w:rPr>
          <w:rFonts w:eastAsia="Times New Roman" w:cs="Times New Roman"/>
          <w:b/>
          <w:szCs w:val="28"/>
          <w:lang w:eastAsia="ru-RU"/>
        </w:rPr>
        <w:sym w:font="Symbol" w:char="F02E"/>
      </w:r>
    </w:p>
    <w:p w:rsidR="005E0090" w:rsidRPr="005E0090" w:rsidRDefault="005E0090" w:rsidP="005E0090">
      <w:pPr>
        <w:keepNext/>
        <w:ind w:firstLine="0"/>
        <w:outlineLvl w:val="2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lastRenderedPageBreak/>
        <w:t xml:space="preserve">         5.3.3  Третье направление:  распределение несчастных случаев по профессиям, условиям труда и длительностью нетрудоспособности.</w:t>
      </w:r>
    </w:p>
    <w:p w:rsidR="005E0090" w:rsidRPr="005E0090" w:rsidRDefault="005E0090" w:rsidP="005E0090">
      <w:pPr>
        <w:keepNext/>
        <w:ind w:firstLine="0"/>
        <w:outlineLvl w:val="2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</w:t>
      </w: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5 – Распределение коэффициентов травматизма по годам</w: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1502"/>
        <w:gridCol w:w="1502"/>
        <w:gridCol w:w="1503"/>
        <w:gridCol w:w="1502"/>
        <w:gridCol w:w="1503"/>
      </w:tblGrid>
      <w:tr w:rsidR="005E0090" w:rsidRPr="005E0090" w:rsidTr="005E0090">
        <w:trPr>
          <w:trHeight w:val="323"/>
        </w:trPr>
        <w:tc>
          <w:tcPr>
            <w:tcW w:w="21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Коэффициенты травматизма</w:t>
            </w:r>
          </w:p>
        </w:tc>
        <w:tc>
          <w:tcPr>
            <w:tcW w:w="75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Годы</w:t>
            </w:r>
          </w:p>
        </w:tc>
      </w:tr>
      <w:tr w:rsidR="005E0090" w:rsidRPr="005E0090" w:rsidTr="005E0090">
        <w:trPr>
          <w:trHeight w:val="322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202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0</w:t>
            </w:r>
          </w:p>
        </w:tc>
      </w:tr>
      <w:tr w:rsidR="005E0090" w:rsidRPr="005E0090" w:rsidTr="005E0090">
        <w:trPr>
          <w:cantSplit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</w:t>
            </w:r>
            <w:proofErr w:type="spellStart"/>
            <w:r w:rsidRPr="005E0090">
              <w:rPr>
                <w:rFonts w:eastAsia="Times New Roman" w:cs="Times New Roman"/>
                <w:szCs w:val="28"/>
                <w:lang w:eastAsia="ru-RU"/>
              </w:rPr>
              <w:t>К</w:t>
            </w:r>
            <w:r w:rsidRPr="005E0090">
              <w:rPr>
                <w:rFonts w:eastAsia="Times New Roman" w:cs="Times New Roman"/>
                <w:szCs w:val="28"/>
                <w:vertAlign w:val="subscript"/>
                <w:lang w:eastAsia="ru-RU"/>
              </w:rPr>
              <w:t>ч</w:t>
            </w:r>
            <w:proofErr w:type="spellEnd"/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rPr>
          <w:cantSplit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</w:t>
            </w:r>
            <w:proofErr w:type="spellStart"/>
            <w:r w:rsidRPr="005E0090">
              <w:rPr>
                <w:rFonts w:eastAsia="Times New Roman" w:cs="Times New Roman"/>
                <w:szCs w:val="28"/>
                <w:lang w:eastAsia="ru-RU"/>
              </w:rPr>
              <w:t>К</w:t>
            </w:r>
            <w:r w:rsidRPr="005E0090">
              <w:rPr>
                <w:rFonts w:eastAsia="Times New Roman" w:cs="Times New Roman"/>
                <w:szCs w:val="28"/>
                <w:vertAlign w:val="subscript"/>
                <w:lang w:eastAsia="ru-RU"/>
              </w:rPr>
              <w:t>т</w:t>
            </w:r>
            <w:proofErr w:type="spellEnd"/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К</w:t>
            </w:r>
            <w:r w:rsidRPr="005E0090">
              <w:rPr>
                <w:rFonts w:eastAsia="Times New Roman" w:cs="Times New Roman"/>
                <w:szCs w:val="28"/>
                <w:vertAlign w:val="subscript"/>
                <w:lang w:eastAsia="ru-RU"/>
              </w:rPr>
              <w:t>ОБЩ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vertAlign w:val="subscript"/>
          <w:lang w:eastAsia="ru-RU"/>
        </w:rPr>
      </w:pPr>
      <w:r w:rsidRPr="005E0090">
        <w:rPr>
          <w:rFonts w:eastAsia="Times New Roman" w:cs="Times New Roman"/>
          <w:szCs w:val="28"/>
          <w:vertAlign w:val="subscript"/>
          <w:lang w:eastAsia="ru-RU"/>
        </w:rPr>
        <w:t xml:space="preserve">        </w:t>
      </w:r>
    </w:p>
    <w:p w:rsidR="005E0090" w:rsidRPr="005E0090" w:rsidRDefault="005E0090" w:rsidP="005E0090">
      <w:pPr>
        <w:tabs>
          <w:tab w:val="left" w:pos="709"/>
        </w:tabs>
        <w:jc w:val="left"/>
        <w:rPr>
          <w:rFonts w:eastAsia="Times New Roman" w:cs="Times New Roman"/>
          <w:szCs w:val="28"/>
          <w:vertAlign w:val="subscript"/>
          <w:lang w:eastAsia="ru-RU"/>
        </w:rPr>
      </w:pPr>
      <w:r w:rsidRPr="005E0090">
        <w:rPr>
          <w:rFonts w:eastAsia="Times New Roman" w:cs="Times New Roman"/>
          <w:noProof/>
          <w:sz w:val="24"/>
          <w:szCs w:val="20"/>
          <w:lang w:eastAsia="ru-RU"/>
        </w:rPr>
        <w:drawing>
          <wp:anchor distT="0" distB="0" distL="114300" distR="114300" simplePos="0" relativeHeight="251660288" behindDoc="0" locked="0" layoutInCell="0" allowOverlap="1" wp14:anchorId="3B9B0A6D" wp14:editId="45EBD02A">
            <wp:simplePos x="0" y="0"/>
            <wp:positionH relativeFrom="column">
              <wp:posOffset>285750</wp:posOffset>
            </wp:positionH>
            <wp:positionV relativeFrom="paragraph">
              <wp:posOffset>250190</wp:posOffset>
            </wp:positionV>
            <wp:extent cx="5478780" cy="1192530"/>
            <wp:effectExtent l="0" t="2540" r="0" b="0"/>
            <wp:wrapTopAndBottom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29DA990" wp14:editId="757EA5AB">
                <wp:simplePos x="0" y="0"/>
                <wp:positionH relativeFrom="column">
                  <wp:posOffset>742950</wp:posOffset>
                </wp:positionH>
                <wp:positionV relativeFrom="paragraph">
                  <wp:posOffset>250190</wp:posOffset>
                </wp:positionV>
                <wp:extent cx="1188720" cy="365760"/>
                <wp:effectExtent l="9525" t="12065" r="11430" b="1270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0090" w:rsidRDefault="005E0090" w:rsidP="005E0090">
                            <w:pPr>
                              <w:rPr>
                                <w:sz w:val="30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sz w:val="30"/>
                              </w:rPr>
                              <w:t>К</w:t>
                            </w:r>
                            <w:r>
                              <w:rPr>
                                <w:sz w:val="30"/>
                                <w:vertAlign w:val="subscript"/>
                              </w:rPr>
                              <w:t>Т</w:t>
                            </w:r>
                            <w:proofErr w:type="gramStart"/>
                            <w:r>
                              <w:rPr>
                                <w:sz w:val="30"/>
                              </w:rPr>
                              <w:t>,К</w:t>
                            </w:r>
                            <w:proofErr w:type="gramEnd"/>
                            <w:r>
                              <w:rPr>
                                <w:sz w:val="30"/>
                                <w:vertAlign w:val="subscript"/>
                              </w:rPr>
                              <w:t>ч</w:t>
                            </w:r>
                            <w:r>
                              <w:rPr>
                                <w:sz w:val="30"/>
                              </w:rPr>
                              <w:t>,К</w:t>
                            </w:r>
                            <w:r>
                              <w:rPr>
                                <w:sz w:val="30"/>
                                <w:vertAlign w:val="subscript"/>
                              </w:rPr>
                              <w:t>ОБЩ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58.5pt;margin-top:19.7pt;width:93.6pt;height:2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" o:allowincell="f">
                <v:textbox>
                  <w:txbxContent>
                    <w:p w:rsidR="005E0090" w:rsidRDefault="005E0090" w:rsidP="005E0090">
                      <w:pPr>
                        <w:rPr>
                          <w:sz w:val="30"/>
                          <w:vertAlign w:val="subscript"/>
                        </w:rPr>
                      </w:pPr>
                      <w:proofErr w:type="spellStart"/>
                      <w:r>
                        <w:rPr>
                          <w:sz w:val="30"/>
                        </w:rPr>
                        <w:t>К</w:t>
                      </w:r>
                      <w:r>
                        <w:rPr>
                          <w:sz w:val="30"/>
                          <w:vertAlign w:val="subscript"/>
                        </w:rPr>
                        <w:t>Т</w:t>
                      </w:r>
                      <w:proofErr w:type="gramStart"/>
                      <w:r>
                        <w:rPr>
                          <w:sz w:val="30"/>
                        </w:rPr>
                        <w:t>,К</w:t>
                      </w:r>
                      <w:proofErr w:type="gramEnd"/>
                      <w:r>
                        <w:rPr>
                          <w:sz w:val="30"/>
                          <w:vertAlign w:val="subscript"/>
                        </w:rPr>
                        <w:t>ч</w:t>
                      </w:r>
                      <w:r>
                        <w:rPr>
                          <w:sz w:val="30"/>
                        </w:rPr>
                        <w:t>,К</w:t>
                      </w:r>
                      <w:r>
                        <w:rPr>
                          <w:sz w:val="30"/>
                          <w:vertAlign w:val="subscript"/>
                        </w:rPr>
                        <w:t>ОБЩ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vertAlign w:val="subscript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      Рисунок 4 – График динамики коэффициентов травматизма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vertAlign w:val="subscript"/>
          <w:lang w:eastAsia="ru-RU"/>
        </w:rPr>
      </w:pPr>
    </w:p>
    <w:p w:rsidR="005E0090" w:rsidRPr="005E0090" w:rsidRDefault="005E0090" w:rsidP="005E0090">
      <w:pPr>
        <w:ind w:firstLine="709"/>
        <w:outlineLvl w:val="7"/>
        <w:rPr>
          <w:rFonts w:eastAsia="Times New Roman" w:cs="Times New Roman"/>
          <w:iCs/>
          <w:szCs w:val="28"/>
          <w:lang w:eastAsia="ru-RU"/>
        </w:rPr>
      </w:pPr>
      <w:r w:rsidRPr="005E0090">
        <w:rPr>
          <w:rFonts w:eastAsia="Times New Roman" w:cs="Times New Roman"/>
          <w:iCs/>
          <w:szCs w:val="28"/>
          <w:lang w:eastAsia="ru-RU"/>
        </w:rPr>
        <w:t>5.4</w:t>
      </w:r>
      <w:proofErr w:type="gramStart"/>
      <w:r w:rsidRPr="005E0090">
        <w:rPr>
          <w:rFonts w:eastAsia="Times New Roman" w:cs="Times New Roman"/>
          <w:iCs/>
          <w:szCs w:val="28"/>
          <w:lang w:eastAsia="ru-RU"/>
        </w:rPr>
        <w:t xml:space="preserve">  Н</w:t>
      </w:r>
      <w:proofErr w:type="gramEnd"/>
      <w:r w:rsidRPr="005E0090">
        <w:rPr>
          <w:rFonts w:eastAsia="Times New Roman" w:cs="Times New Roman"/>
          <w:iCs/>
          <w:szCs w:val="28"/>
          <w:lang w:eastAsia="ru-RU"/>
        </w:rPr>
        <w:t>а втором  этапе делается анализ производственного травматизма по следующим показателям:</w: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 w:val="24"/>
          <w:szCs w:val="20"/>
          <w:lang w:eastAsia="ru-RU"/>
        </w:rPr>
      </w:pPr>
    </w:p>
    <w:p w:rsidR="005E0090" w:rsidRPr="005E0090" w:rsidRDefault="005E0090" w:rsidP="005E0090">
      <w:pPr>
        <w:ind w:firstLine="709"/>
        <w:outlineLvl w:val="7"/>
        <w:rPr>
          <w:rFonts w:eastAsia="Times New Roman" w:cs="Times New Roman"/>
          <w:iCs/>
          <w:szCs w:val="28"/>
          <w:lang w:eastAsia="ru-RU"/>
        </w:rPr>
      </w:pPr>
      <w:r w:rsidRPr="005E0090">
        <w:rPr>
          <w:rFonts w:eastAsia="Times New Roman" w:cs="Times New Roman"/>
          <w:iCs/>
          <w:szCs w:val="28"/>
          <w:lang w:eastAsia="ru-RU"/>
        </w:rPr>
        <w:t xml:space="preserve">1) По годам, в этом случае анализируемого периода принимается за 100%,а </w:t>
      </w:r>
      <w:proofErr w:type="gramStart"/>
      <w:r w:rsidRPr="005E0090">
        <w:rPr>
          <w:rFonts w:eastAsia="Times New Roman" w:cs="Times New Roman"/>
          <w:iCs/>
          <w:szCs w:val="28"/>
          <w:lang w:eastAsia="ru-RU"/>
        </w:rPr>
        <w:t>последующие</w:t>
      </w:r>
      <w:proofErr w:type="gramEnd"/>
      <w:r w:rsidRPr="005E0090">
        <w:rPr>
          <w:rFonts w:eastAsia="Times New Roman" w:cs="Times New Roman"/>
          <w:iCs/>
          <w:szCs w:val="28"/>
          <w:lang w:eastAsia="ru-RU"/>
        </w:rPr>
        <w:t xml:space="preserve"> сравниваются с ним. Результаты анализа заносятся в таблицу.</w: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 w:val="24"/>
          <w:szCs w:val="20"/>
          <w:lang w:eastAsia="ru-RU"/>
        </w:rPr>
      </w:pPr>
    </w:p>
    <w:p w:rsidR="005E0090" w:rsidRPr="005E0090" w:rsidRDefault="005E0090" w:rsidP="005E0090">
      <w:pPr>
        <w:ind w:firstLine="709"/>
        <w:outlineLvl w:val="7"/>
        <w:rPr>
          <w:rFonts w:eastAsia="Times New Roman" w:cs="Times New Roman"/>
          <w:iCs/>
          <w:szCs w:val="28"/>
          <w:lang w:eastAsia="ru-RU"/>
        </w:rPr>
      </w:pPr>
      <w:r w:rsidRPr="005E0090">
        <w:rPr>
          <w:rFonts w:eastAsia="Times New Roman" w:cs="Times New Roman"/>
          <w:iCs/>
          <w:szCs w:val="28"/>
          <w:lang w:eastAsia="ru-RU"/>
        </w:rPr>
        <w:t xml:space="preserve">Таблица 6 – Распределение количества несчастных случаев по годам </w:t>
      </w: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52"/>
        <w:gridCol w:w="1417"/>
        <w:gridCol w:w="1417"/>
        <w:gridCol w:w="1418"/>
        <w:gridCol w:w="1417"/>
        <w:gridCol w:w="1418"/>
      </w:tblGrid>
      <w:tr w:rsidR="005E0090" w:rsidRPr="005E0090" w:rsidTr="005E0090">
        <w:trPr>
          <w:cantSplit/>
          <w:trHeight w:val="323"/>
        </w:trPr>
        <w:tc>
          <w:tcPr>
            <w:tcW w:w="2552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keepNext/>
              <w:ind w:firstLine="0"/>
              <w:outlineLvl w:val="1"/>
              <w:rPr>
                <w:rFonts w:eastAsia="Times New Roman" w:cs="Times New Roman"/>
                <w:szCs w:val="20"/>
                <w:lang w:eastAsia="ru-RU"/>
              </w:rPr>
            </w:pPr>
            <w:r w:rsidRPr="005E0090">
              <w:rPr>
                <w:rFonts w:eastAsia="Times New Roman" w:cs="Times New Roman"/>
                <w:szCs w:val="20"/>
                <w:lang w:eastAsia="ru-RU"/>
              </w:rPr>
              <w:t>Наименование</w:t>
            </w:r>
          </w:p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показателей</w:t>
            </w:r>
          </w:p>
        </w:tc>
        <w:tc>
          <w:tcPr>
            <w:tcW w:w="7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Годы</w:t>
            </w:r>
          </w:p>
        </w:tc>
      </w:tr>
      <w:tr w:rsidR="005E0090" w:rsidRPr="005E0090" w:rsidTr="005E0090">
        <w:trPr>
          <w:cantSplit/>
          <w:trHeight w:val="322"/>
        </w:trPr>
        <w:tc>
          <w:tcPr>
            <w:tcW w:w="2552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6</w:t>
            </w: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 xml:space="preserve">       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7</w:t>
            </w: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 xml:space="preserve">       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8</w:t>
            </w: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 xml:space="preserve">        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9</w:t>
            </w: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 xml:space="preserve">      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202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0</w:t>
            </w:r>
          </w:p>
        </w:tc>
      </w:tr>
      <w:tr w:rsidR="005E0090" w:rsidRPr="005E0090" w:rsidTr="005E0090">
        <w:tc>
          <w:tcPr>
            <w:tcW w:w="255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1. Число несчастных случаев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2. 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</w:tbl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По результатам анализа в координатах “ годы - % “ строится график или </w: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диаграмма.</w:t>
      </w:r>
    </w:p>
    <w:p w:rsidR="005E0090" w:rsidRPr="005E0090" w:rsidRDefault="005E0090" w:rsidP="005E0090">
      <w:pPr>
        <w:jc w:val="left"/>
        <w:rPr>
          <w:rFonts w:eastAsia="Times New Roman" w:cs="Times New Roman"/>
          <w:noProof/>
          <w:szCs w:val="28"/>
          <w:lang w:eastAsia="ru-RU"/>
        </w:rPr>
      </w:pPr>
      <w:r w:rsidRPr="005E0090">
        <w:rPr>
          <w:rFonts w:eastAsia="Times New Roman" w:cs="Times New Roman"/>
          <w:noProof/>
          <w:sz w:val="24"/>
          <w:szCs w:val="20"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69F5B6AB" wp14:editId="126DC080">
            <wp:simplePos x="0" y="0"/>
            <wp:positionH relativeFrom="column">
              <wp:posOffset>131445</wp:posOffset>
            </wp:positionH>
            <wp:positionV relativeFrom="paragraph">
              <wp:posOffset>66040</wp:posOffset>
            </wp:positionV>
            <wp:extent cx="6061075" cy="2025650"/>
            <wp:effectExtent l="0" t="0" r="0" b="3810"/>
            <wp:wrapTopAndBottom/>
            <wp:docPr id="4" name="Объект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noProof/>
          <w:szCs w:val="28"/>
          <w:lang w:eastAsia="ru-RU"/>
        </w:rPr>
        <w:t>Рисунок 5 – График рас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пределение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 xml:space="preserve"> количества несчастных случаев по годам</w:t>
      </w:r>
    </w:p>
    <w:p w:rsidR="005E0090" w:rsidRPr="005E0090" w:rsidRDefault="005E0090" w:rsidP="005E0090">
      <w:pPr>
        <w:ind w:firstLine="709"/>
        <w:rPr>
          <w:rFonts w:eastAsia="Times New Roman" w:cs="Times New Roman"/>
          <w:noProof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noProof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8"/>
          <w:lang w:eastAsia="ru-RU"/>
        </w:rPr>
        <w:t>Все оставшиеся виды анализа проводятся за весь анализируемый период, при этом определяется число процентов приходящееся на один несчастный случай (</w:t>
      </w:r>
      <w:r w:rsidRPr="005E0090">
        <w:rPr>
          <w:rFonts w:eastAsia="Times New Roman" w:cs="Times New Roman"/>
          <w:szCs w:val="28"/>
          <w:lang w:val="en-US" w:eastAsia="ru-RU"/>
        </w:rPr>
        <w:t>m</w:t>
      </w:r>
      <w:r w:rsidRPr="005E0090">
        <w:rPr>
          <w:rFonts w:eastAsia="Times New Roman" w:cs="Times New Roman"/>
          <w:szCs w:val="28"/>
          <w:lang w:eastAsia="ru-RU"/>
        </w:rPr>
        <w:t>), которые находится по следующей формуле:</w:t>
      </w: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                                   </w:t>
      </w:r>
      <w:r w:rsidRPr="005E0090">
        <w:rPr>
          <w:rFonts w:eastAsia="Times New Roman" w:cs="Times New Roman"/>
          <w:szCs w:val="28"/>
          <w:lang w:val="en-US" w:eastAsia="ru-RU"/>
        </w:rPr>
        <w:t>m</w:t>
      </w:r>
      <w:r w:rsidRPr="005E0090">
        <w:rPr>
          <w:rFonts w:eastAsia="Times New Roman" w:cs="Times New Roman"/>
          <w:szCs w:val="28"/>
          <w:lang w:eastAsia="ru-RU"/>
        </w:rPr>
        <w:t xml:space="preserve"> = 100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%  ∕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</w:t>
      </w:r>
      <w:r w:rsidRPr="005E0090">
        <w:rPr>
          <w:rFonts w:eastAsia="Times New Roman" w:cs="Times New Roman"/>
          <w:szCs w:val="28"/>
          <w:lang w:val="en-US" w:eastAsia="ru-RU"/>
        </w:rPr>
        <w:t>n</w:t>
      </w:r>
      <w:r w:rsidRPr="005E0090">
        <w:rPr>
          <w:rFonts w:eastAsia="Times New Roman" w:cs="Times New Roman"/>
          <w:szCs w:val="28"/>
          <w:lang w:eastAsia="ru-RU"/>
        </w:rPr>
        <w:t xml:space="preserve">                                (11)</w:t>
      </w: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2) По месяцам года. Из актов (форма Н-1) определяется общее число несчастных случаев в каждом месяце. Распределение несчастных случаев по месяцам года находится путем умножения числа процентов, приходящихся на один несчастный случай на число несчастных случаев. Результаты анализа заносятся в таблицу, и строится график или диаграмма.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7- Распределение количества несчастных случаев по месяцам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-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3544"/>
        <w:gridCol w:w="4961"/>
      </w:tblGrid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Месяц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Январь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Февраль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Март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Май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Июнь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Июль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Август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Сентябрь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Октябрь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Ноябрь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Декабрь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lastRenderedPageBreak/>
              <w:t>Всего: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                    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1C5C1D" w:rsidP="005E0090">
      <w:pPr>
        <w:ind w:firstLine="709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.35pt;margin-top:6.5pt;width:460.65pt;height:144.75pt;z-index:251658240">
            <v:imagedata r:id="rId8" o:title=""/>
            <w10:wrap type="topAndBottom"/>
          </v:shape>
          <o:OLEObject Type="Embed" ProgID="MSGraph.Chart.8" ShapeID="_x0000_s1026" DrawAspect="Content" ObjectID="_1704378586" r:id="rId9">
            <o:FieldCodes>\s</o:FieldCodes>
          </o:OLEObject>
        </w:pict>
      </w:r>
      <w:r w:rsidR="005E0090" w:rsidRPr="005E0090">
        <w:rPr>
          <w:rFonts w:eastAsia="Times New Roman" w:cs="Times New Roman"/>
          <w:szCs w:val="28"/>
          <w:lang w:eastAsia="ru-RU"/>
        </w:rPr>
        <w:t>Рисунок 6 – Диаграмма распределения количества несчастных случаев по месяцам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При выполнении остальных видов анализа распределение несчастных случаев определяется аналогично.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3) По дням недели. Из актов формы Н-1 по числу и месяцу соответствующего года  с  помощью календаря определяются дни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недели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в которые произошли несчастные случаи, а затем получают распределение несчастных случаев по дням недели. Результаты анализа заносятся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8 - Распределение количества несчастных случаев по дням недели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76"/>
        <w:gridCol w:w="3284"/>
        <w:gridCol w:w="3179"/>
      </w:tblGrid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Дни недели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Количество несчастных случаев</w:t>
            </w: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Понедельник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Вторник 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Среда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Четверг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Пятница 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Суббота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Воскресенье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      100%</w:t>
            </w:r>
          </w:p>
        </w:tc>
      </w:tr>
    </w:tbl>
    <w:p w:rsidR="005E0090" w:rsidRPr="005E0090" w:rsidRDefault="005E0090" w:rsidP="005E0090">
      <w:pPr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 результатам анализа строится график или диаграмма.</w:t>
      </w:r>
    </w:p>
    <w:p w:rsidR="005E0090" w:rsidRPr="005E0090" w:rsidRDefault="005E0090" w:rsidP="005E0090">
      <w:pPr>
        <w:ind w:firstLine="360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360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 wp14:anchorId="2197090E" wp14:editId="3A432B6A">
            <wp:simplePos x="0" y="0"/>
            <wp:positionH relativeFrom="column">
              <wp:posOffset>17145</wp:posOffset>
            </wp:positionH>
            <wp:positionV relativeFrom="paragraph">
              <wp:posOffset>82550</wp:posOffset>
            </wp:positionV>
            <wp:extent cx="5829300" cy="3086100"/>
            <wp:effectExtent l="0" t="0" r="1905" b="3175"/>
            <wp:wrapTopAndBottom/>
            <wp:docPr id="5" name="Объект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szCs w:val="28"/>
          <w:lang w:eastAsia="ru-RU"/>
        </w:rPr>
        <w:t>Рисунок 7 – График распределения количества несчастных случаев по дням недели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4) По часам суток. Сутки делятся на определенные промежутки в часах. Из актов формы Н-1 определяются промежутки времени в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часах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в которые произошли несчастные случаи, а затем получают распределение несчастных случаев по часам суток. Результаты анализа заносят в таблицу и строят график или диаграмму.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9 - Распределение количества несчастных случаев по часам суток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Часы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4-6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6-8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8-10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10-12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12-14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14-16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16-18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18-20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20-22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22-24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100%</w:t>
            </w:r>
          </w:p>
        </w:tc>
      </w:tr>
      <w:tr w:rsidR="005E0090" w:rsidRPr="005E0090" w:rsidTr="005E0090">
        <w:trPr>
          <w:cantSplit/>
          <w:trHeight w:val="607"/>
        </w:trPr>
        <w:tc>
          <w:tcPr>
            <w:tcW w:w="985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  <w:p w:rsidR="005E0090" w:rsidRPr="005E0090" w:rsidRDefault="005E0090" w:rsidP="005E0090">
            <w:pPr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По результатам анализа строится график или диаграмма.</w:t>
            </w:r>
          </w:p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 w:val="24"/>
          <w:szCs w:val="20"/>
          <w:lang w:eastAsia="ru-RU"/>
        </w:rPr>
        <w:drawing>
          <wp:anchor distT="0" distB="0" distL="114300" distR="114300" simplePos="0" relativeHeight="251671552" behindDoc="0" locked="0" layoutInCell="0" allowOverlap="1" wp14:anchorId="6BA92821" wp14:editId="5375656F">
            <wp:simplePos x="0" y="0"/>
            <wp:positionH relativeFrom="column">
              <wp:posOffset>245745</wp:posOffset>
            </wp:positionH>
            <wp:positionV relativeFrom="paragraph">
              <wp:posOffset>225425</wp:posOffset>
            </wp:positionV>
            <wp:extent cx="5486400" cy="2065020"/>
            <wp:effectExtent l="0" t="0" r="1905" b="5080"/>
            <wp:wrapTopAndBottom/>
            <wp:docPr id="6" name="Объект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szCs w:val="28"/>
          <w:lang w:eastAsia="ru-RU"/>
        </w:rPr>
        <w:t xml:space="preserve"> 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Рисунок 8 - Распределение количества несчастных случаев по часам суток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5) По стажу работы. Стаж работы пострадавших разбивается на определенные промежутки в годах. Из актов формы Н-1 выбирают стаж работы и относят его к соответствующему промежутку. Результаты анализа заносят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10 - Распределение количества несчастных случаев по стажу работы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76"/>
        <w:gridCol w:w="3284"/>
        <w:gridCol w:w="3179"/>
      </w:tblGrid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Промежутки стажа (годы)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До 1 года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1 до 2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2 до 3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3 до 5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5 до 10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10 до 20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20 до 30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30 до 40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40 до 50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    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lastRenderedPageBreak/>
        <w:t>По результатам анализа строится график или диаграмма.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64384" behindDoc="0" locked="0" layoutInCell="0" allowOverlap="1" wp14:anchorId="4855A8F5" wp14:editId="193FA343">
            <wp:simplePos x="0" y="0"/>
            <wp:positionH relativeFrom="column">
              <wp:posOffset>285750</wp:posOffset>
            </wp:positionH>
            <wp:positionV relativeFrom="paragraph">
              <wp:posOffset>310515</wp:posOffset>
            </wp:positionV>
            <wp:extent cx="5509260" cy="2540000"/>
            <wp:effectExtent l="0" t="5715" r="0" b="0"/>
            <wp:wrapTopAndBottom/>
            <wp:docPr id="7" name="Объект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     Рисунок 9 - Распределение количества несчастных случаев по стажу работы</w:t>
      </w:r>
    </w:p>
    <w:p w:rsidR="005E0090" w:rsidRPr="005E0090" w:rsidRDefault="005E0090" w:rsidP="005E0090">
      <w:pPr>
        <w:ind w:firstLine="0"/>
        <w:rPr>
          <w:rFonts w:eastAsia="Times New Roman" w:cs="Times New Roman"/>
          <w:sz w:val="24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6) По возрасту пострадавших. Возрасты пострадавших разбиваются на определенные промежутки в годах. Из актов формы Н-1 выбирают возраст и относят его к соответствующему  промежутку. Результаты заносят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11 - Распределение количества несчастных случаев по возрасту пострадавших</w:t>
      </w:r>
    </w:p>
    <w:p w:rsidR="005E0090" w:rsidRPr="005E0090" w:rsidRDefault="005E0090" w:rsidP="005E0090">
      <w:pPr>
        <w:ind w:firstLine="709"/>
        <w:jc w:val="left"/>
        <w:outlineLvl w:val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2880"/>
        <w:gridCol w:w="3060"/>
      </w:tblGrid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Промежутки возраста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 случаев </w:t>
            </w: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До 18 лет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От 18 до 19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19 до 20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20 до 30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30 до 40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40 до 50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50 до 60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60 до 70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В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СЕГО: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100 %</w:t>
            </w:r>
          </w:p>
        </w:tc>
      </w:tr>
    </w:tbl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66432" behindDoc="0" locked="0" layoutInCell="0" allowOverlap="1" wp14:anchorId="3A0E15A0" wp14:editId="49606BBF">
            <wp:simplePos x="0" y="0"/>
            <wp:positionH relativeFrom="column">
              <wp:posOffset>0</wp:posOffset>
            </wp:positionH>
            <wp:positionV relativeFrom="paragraph">
              <wp:posOffset>372745</wp:posOffset>
            </wp:positionV>
            <wp:extent cx="6067425" cy="1257300"/>
            <wp:effectExtent l="0" t="1270" r="0" b="0"/>
            <wp:wrapTopAndBottom/>
            <wp:docPr id="8" name="Объект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szCs w:val="28"/>
          <w:lang w:eastAsia="ru-RU"/>
        </w:rPr>
        <w:t>По результатам анализа строится график или диаграмма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Рисунок 10 – Диаграмма анализа травматизма по возрасту пострадавших</w:t>
      </w:r>
    </w:p>
    <w:p w:rsidR="005E0090" w:rsidRPr="005E0090" w:rsidRDefault="005E0090" w:rsidP="005E0090">
      <w:pPr>
        <w:ind w:left="284" w:firstLine="9"/>
        <w:outlineLvl w:val="0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left="284" w:firstLine="9"/>
        <w:outlineLvl w:val="0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7) По причинам. Из актов формы Н-1 выбирают причину несчастного случая и заносят в таблицу. По результатам анализа строится диаграмма.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12 – Распределение количества несчастных случаев по виду причин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3"/>
        <w:gridCol w:w="2917"/>
        <w:gridCol w:w="3285"/>
      </w:tblGrid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Вид причин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Техническая 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Санитарно-гигиеническая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Психофизиологическая 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Организационная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 результатам анализа строится график или диаграмма.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70528" behindDoc="0" locked="0" layoutInCell="1" allowOverlap="1" wp14:anchorId="2ABB8A49" wp14:editId="77B4DC8C">
            <wp:simplePos x="0" y="0"/>
            <wp:positionH relativeFrom="column">
              <wp:posOffset>17145</wp:posOffset>
            </wp:positionH>
            <wp:positionV relativeFrom="paragraph">
              <wp:posOffset>106680</wp:posOffset>
            </wp:positionV>
            <wp:extent cx="6010275" cy="1424940"/>
            <wp:effectExtent l="0" t="1905" r="1905" b="1905"/>
            <wp:wrapTopAndBottom/>
            <wp:docPr id="9" name="Объект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Рисунок 11 – Диаграмма анализа травматизма по виду причин 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8) По месту происшествия. Из актов формы Н-1 выбирается место происшествия и заносится в таблицу.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13 – Распределение количества несчастных случаев по месту происшествия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Место происшествия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Число несчастных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 xml:space="preserve">Распредепение 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несчастных  </w:t>
            </w:r>
          </w:p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случаев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На линии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На территории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В зоне Технического обслуживания -1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В зоне Технического  обслуживания -2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В цехах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ВСЕГО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: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По результатам анализа строится график или диаграмма 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noProof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67456" behindDoc="0" locked="0" layoutInCell="0" allowOverlap="1" wp14:anchorId="5ADD9FE7" wp14:editId="034C555C">
            <wp:simplePos x="0" y="0"/>
            <wp:positionH relativeFrom="column">
              <wp:posOffset>0</wp:posOffset>
            </wp:positionH>
            <wp:positionV relativeFrom="paragraph">
              <wp:posOffset>204470</wp:posOffset>
            </wp:positionV>
            <wp:extent cx="6904990" cy="1828800"/>
            <wp:effectExtent l="0" t="4445" r="635" b="0"/>
            <wp:wrapTopAndBottom/>
            <wp:docPr id="10" name="Объект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Рисунок 12 – Диаграмма анализа травматизма по месту происшествия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9) По частям тела. В акте формы Н - из подробного описания обстоятельств несчастного случая выясняют часть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тела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которая поражена и заносят в таблицу.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14 – Распределение количества несчастных случаев по пострадавшим частям тела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Часть тела, которая поражена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Распределение несчастных  случаев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Голова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Туловище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Рука левая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Рука правая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Нога левая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Нога правая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lastRenderedPageBreak/>
              <w:t xml:space="preserve">ВСЕГО:      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68480" behindDoc="0" locked="0" layoutInCell="1" allowOverlap="1" wp14:anchorId="45649A05" wp14:editId="3F75897C">
            <wp:simplePos x="0" y="0"/>
            <wp:positionH relativeFrom="column">
              <wp:posOffset>17145</wp:posOffset>
            </wp:positionH>
            <wp:positionV relativeFrom="paragraph">
              <wp:posOffset>335280</wp:posOffset>
            </wp:positionV>
            <wp:extent cx="6105525" cy="1828800"/>
            <wp:effectExtent l="0" t="1905" r="1905" b="0"/>
            <wp:wrapTopAndBottom/>
            <wp:docPr id="11" name="Объект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Рисунок 13 - Диаграмма анализа травматизма по пораженным частям тела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10) По профессиям. Из актов формы Н-1 выбирают профессию пострадавшего и заносят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15 - Распределение количества несчастных случаев по профессии пострадавших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Профессия пострадавшего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Распределение несчастных случаев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Водитель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Слесарь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Токарь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Крановщик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Плотник 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</w:t>
      </w:r>
      <w:r w:rsidRPr="005E0090">
        <w:rPr>
          <w:rFonts w:eastAsia="Times New Roman" w:cs="Times New Roman"/>
          <w:szCs w:val="28"/>
          <w:lang w:eastAsia="ru-RU"/>
        </w:rPr>
        <w:tab/>
        <w:t xml:space="preserve"> результатам анализа строится график или диаграмма.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lastRenderedPageBreak/>
        <w:drawing>
          <wp:anchor distT="0" distB="0" distL="114300" distR="114300" simplePos="0" relativeHeight="251669504" behindDoc="0" locked="0" layoutInCell="0" allowOverlap="1" wp14:anchorId="7480BB2A" wp14:editId="09992D9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087110" cy="2456815"/>
            <wp:effectExtent l="0" t="0" r="0" b="635"/>
            <wp:wrapTopAndBottom/>
            <wp:docPr id="12" name="Объект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szCs w:val="28"/>
          <w:lang w:eastAsia="ru-RU"/>
        </w:rPr>
        <w:t>Рисунок 14 – Диаграмма анализа травматизма по профессии пострадавшего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11) По видам травмы. В акте формы Н-1 из подробного описания обстоятельств несчастного случая выясняют вид травм и заносят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16 – Распределение количества несчастных случаев по видам травм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Вид травмы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Ушиб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Перелом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Ранение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Ожог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Обморожение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Травма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Отравление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Порез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Электрическая травма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Комбинированная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4150BA"/>
    <w:multiLevelType w:val="singleLevel"/>
    <w:tmpl w:val="56DCC328"/>
    <w:lvl w:ilvl="0">
      <w:start w:val="1"/>
      <w:numFmt w:val="bullet"/>
      <w:lvlText w:val="—"/>
      <w:lvlJc w:val="left"/>
      <w:pPr>
        <w:tabs>
          <w:tab w:val="num" w:pos="465"/>
        </w:tabs>
        <w:ind w:left="465" w:hanging="46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1BB"/>
    <w:rsid w:val="000A0D77"/>
    <w:rsid w:val="001C5C1D"/>
    <w:rsid w:val="005E0090"/>
    <w:rsid w:val="005F01B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2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hart" Target="charts/chart6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styles" Target="styles.xml"/><Relationship Id="rId16" Type="http://schemas.openxmlformats.org/officeDocument/2006/relationships/chart" Target="charts/chart9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9.xlsx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0.xlsx"/><Relationship Id="rId1" Type="http://schemas.openxmlformats.org/officeDocument/2006/relationships/themeOverride" Target="../theme/themeOverrid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45"/>
      <c:hPercent val="19"/>
      <c:rotY val="3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3.8869257950530034E-2"/>
          <c:y val="7.3770491803278687E-2"/>
          <c:w val="0.94346289752650181"/>
          <c:h val="0.7868852459016393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04.янв</c:v>
                </c:pt>
              </c:strCache>
            </c:strRef>
          </c:tx>
          <c:spPr>
            <a:solidFill>
              <a:srgbClr val="9999FF"/>
            </a:solidFill>
            <a:ln w="11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Sheet1!$B$2:$K$2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10</c:v>
                </c:pt>
                <c:pt idx="3">
                  <c:v>6</c:v>
                </c:pt>
                <c:pt idx="4">
                  <c:v>8</c:v>
                </c:pt>
                <c:pt idx="5">
                  <c:v>4</c:v>
                </c:pt>
                <c:pt idx="6">
                  <c:v>17</c:v>
                </c:pt>
                <c:pt idx="7">
                  <c:v>24</c:v>
                </c:pt>
                <c:pt idx="8">
                  <c:v>13</c:v>
                </c:pt>
                <c:pt idx="9">
                  <c:v>9.9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8</c:v>
                </c:pt>
              </c:strCache>
            </c:strRef>
          </c:tx>
          <c:spPr>
            <a:solidFill>
              <a:srgbClr val="993366"/>
            </a:solidFill>
            <a:ln w="11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Sheet1!$B$3:$K$3</c:f>
              <c:numCache>
                <c:formatCode>General</c:formatCode>
                <c:ptCount val="10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10</c:v>
                </c:pt>
              </c:strCache>
            </c:strRef>
          </c:tx>
          <c:spPr>
            <a:solidFill>
              <a:srgbClr val="FFFFCC"/>
            </a:solidFill>
            <a:ln w="11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Sheet1!$B$4:$K$4</c:f>
              <c:numCache>
                <c:formatCode>General</c:formatCode>
                <c:ptCount val="10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pyramid"/>
        <c:axId val="122017280"/>
        <c:axId val="122018816"/>
        <c:axId val="0"/>
      </c:bar3DChart>
      <c:catAx>
        <c:axId val="1220172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98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494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01881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2018816"/>
        <c:scaling>
          <c:orientation val="minMax"/>
        </c:scaling>
        <c:delete val="0"/>
        <c:axPos val="l"/>
        <c:majorGridlines>
          <c:spPr>
            <a:ln w="298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98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494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017280"/>
        <c:crosses val="autoZero"/>
        <c:crossBetween val="between"/>
      </c:valAx>
      <c:spPr>
        <a:noFill/>
        <a:ln w="2391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494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702875399361023"/>
          <c:y val="0.10891089108910891"/>
          <c:w val="0.87859424920127793"/>
          <c:h val="0.58415841584158412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 </c:v>
                </c:pt>
              </c:strCache>
            </c:strRef>
          </c:tx>
          <c:spPr>
            <a:ln w="12680">
              <a:solidFill>
                <a:srgbClr val="000080"/>
              </a:solidFill>
              <a:prstDash val="solid"/>
            </a:ln>
          </c:spPr>
          <c:marker>
            <c:symbol val="none"/>
          </c:marker>
          <c:cat>
            <c:numRef>
              <c:f>Sheet1!$B$1:$F$1</c:f>
              <c:numCache>
                <c:formatCode>General</c:formatCode>
                <c:ptCount val="5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</c:numCache>
            </c:numRef>
          </c:cat>
          <c:val>
            <c:numRef>
              <c:f>Sheet1!$B$2:$F$2</c:f>
              <c:numCache>
                <c:formatCode>General</c:formatCode>
                <c:ptCount val="5"/>
                <c:pt idx="0">
                  <c:v>100</c:v>
                </c:pt>
                <c:pt idx="1">
                  <c:v>50</c:v>
                </c:pt>
                <c:pt idx="2">
                  <c:v>120</c:v>
                </c:pt>
                <c:pt idx="3">
                  <c:v>80</c:v>
                </c:pt>
                <c:pt idx="4">
                  <c:v>40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 </c:v>
                </c:pt>
              </c:strCache>
            </c:strRef>
          </c:tx>
          <c:spPr>
            <a:ln w="12680">
              <a:solidFill>
                <a:srgbClr val="FF00FF"/>
              </a:solidFill>
              <a:prstDash val="solid"/>
            </a:ln>
          </c:spPr>
          <c:marker>
            <c:symbol val="none"/>
          </c:marker>
          <c:cat>
            <c:numRef>
              <c:f>Sheet1!$B$1:$F$1</c:f>
              <c:numCache>
                <c:formatCode>General</c:formatCode>
                <c:ptCount val="5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</c:numCache>
            </c:numRef>
          </c:cat>
          <c:val>
            <c:numRef>
              <c:f>Sheet1!$B$3:$F$3</c:f>
              <c:numCache>
                <c:formatCode>General</c:formatCode>
                <c:ptCount val="5"/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 </c:v>
                </c:pt>
              </c:strCache>
            </c:strRef>
          </c:tx>
          <c:spPr>
            <a:ln w="12680">
              <a:solidFill>
                <a:srgbClr val="FFFF00"/>
              </a:solidFill>
              <a:prstDash val="solid"/>
            </a:ln>
          </c:spPr>
          <c:marker>
            <c:symbol val="none"/>
          </c:marker>
          <c:cat>
            <c:numRef>
              <c:f>Sheet1!$B$1:$F$1</c:f>
              <c:numCache>
                <c:formatCode>General</c:formatCode>
                <c:ptCount val="5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</c:numCache>
            </c:numRef>
          </c:cat>
          <c:val>
            <c:numRef>
              <c:f>Sheet1!$B$4:$F$4</c:f>
              <c:numCache>
                <c:formatCode>General</c:formatCode>
                <c:ptCount val="5"/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2192256"/>
        <c:axId val="122194176"/>
      </c:lineChart>
      <c:catAx>
        <c:axId val="12219225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899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годы</a:t>
                </a:r>
              </a:p>
            </c:rich>
          </c:tx>
          <c:layout>
            <c:manualLayout>
              <c:xMode val="edge"/>
              <c:yMode val="edge"/>
              <c:x val="0.51757188498402551"/>
              <c:y val="0.8366336633663366"/>
            </c:manualLayout>
          </c:layout>
          <c:overlay val="0"/>
          <c:spPr>
            <a:noFill/>
            <a:ln w="2536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1941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2194176"/>
        <c:scaling>
          <c:orientation val="minMax"/>
        </c:scaling>
        <c:delete val="0"/>
        <c:axPos val="l"/>
        <c:majorGridlines>
          <c:spPr>
            <a:ln w="3170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899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%</a:t>
                </a:r>
              </a:p>
            </c:rich>
          </c:tx>
          <c:layout>
            <c:manualLayout>
              <c:xMode val="edge"/>
              <c:yMode val="edge"/>
              <c:x val="1.7571884984025558E-2"/>
              <c:y val="0.36633663366336633"/>
            </c:manualLayout>
          </c:layout>
          <c:overlay val="0"/>
          <c:spPr>
            <a:noFill/>
            <a:ln w="2536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192256"/>
        <c:crosses val="autoZero"/>
        <c:crossBetween val="between"/>
      </c:valAx>
      <c:spPr>
        <a:solidFill>
          <a:srgbClr val="FFFFFF"/>
        </a:solidFill>
        <a:ln w="12680">
          <a:solidFill>
            <a:srgbClr val="808080"/>
          </a:solidFill>
          <a:prstDash val="solid"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99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5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4850498338870434E-2"/>
          <c:y val="9.8726114649681534E-2"/>
          <c:w val="0.92524916943521596"/>
          <c:h val="0.796178343949044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7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  <c:pt idx="5">
                  <c:v>суббота</c:v>
                </c:pt>
                <c:pt idx="6">
                  <c:v>воскресенье</c:v>
                </c:pt>
              </c:strCache>
            </c:strRef>
          </c:cat>
          <c:val>
            <c:numRef>
              <c:f>Sheet1!$B$2:$H$2</c:f>
              <c:numCache>
                <c:formatCode>General</c:formatCode>
                <c:ptCount val="7"/>
                <c:pt idx="0">
                  <c:v>18</c:v>
                </c:pt>
                <c:pt idx="1">
                  <c:v>14</c:v>
                </c:pt>
                <c:pt idx="2">
                  <c:v>20</c:v>
                </c:pt>
                <c:pt idx="3">
                  <c:v>12</c:v>
                </c:pt>
                <c:pt idx="4">
                  <c:v>15</c:v>
                </c:pt>
                <c:pt idx="5">
                  <c:v>10</c:v>
                </c:pt>
                <c:pt idx="6">
                  <c:v>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7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  <c:pt idx="5">
                  <c:v>суббота</c:v>
                </c:pt>
                <c:pt idx="6">
                  <c:v>воскресенье</c:v>
                </c:pt>
              </c:strCache>
            </c:strRef>
          </c:cat>
          <c:val>
            <c:numRef>
              <c:f>Sheet1!$B$3:$H$3</c:f>
              <c:numCache>
                <c:formatCode>General</c:formatCode>
                <c:ptCount val="7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7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  <c:pt idx="5">
                  <c:v>суббота</c:v>
                </c:pt>
                <c:pt idx="6">
                  <c:v>воскресенье</c:v>
                </c:pt>
              </c:strCache>
            </c:strRef>
          </c:cat>
          <c:val>
            <c:numRef>
              <c:f>Sheet1!$B$4:$H$4</c:f>
              <c:numCache>
                <c:formatCode>General</c:formatCode>
                <c:ptCount val="7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2466304"/>
        <c:axId val="122467840"/>
        <c:axId val="0"/>
      </c:bar3DChart>
      <c:catAx>
        <c:axId val="1224663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6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467840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22467840"/>
        <c:scaling>
          <c:orientation val="minMax"/>
        </c:scaling>
        <c:delete val="0"/>
        <c:axPos val="l"/>
        <c:majorGridlines>
          <c:spPr>
            <a:ln w="316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6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466304"/>
        <c:crosses val="autoZero"/>
        <c:crossBetween val="between"/>
      </c:valAx>
      <c:spPr>
        <a:noFill/>
        <a:ln w="25322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96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45"/>
      <c:hPercent val="19"/>
      <c:rotY val="3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3.8869257950530034E-2"/>
          <c:y val="7.3170731707317069E-2"/>
          <c:w val="0.94346289752650181"/>
          <c:h val="0.7886178861788617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04.янв</c:v>
                </c:pt>
              </c:strCache>
            </c:strRef>
          </c:tx>
          <c:spPr>
            <a:solidFill>
              <a:srgbClr val="9999FF"/>
            </a:solidFill>
            <a:ln w="1263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Sheet1!$B$2:$K$2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10</c:v>
                </c:pt>
                <c:pt idx="3">
                  <c:v>6</c:v>
                </c:pt>
                <c:pt idx="4">
                  <c:v>8</c:v>
                </c:pt>
                <c:pt idx="5">
                  <c:v>4</c:v>
                </c:pt>
                <c:pt idx="6">
                  <c:v>17</c:v>
                </c:pt>
                <c:pt idx="7">
                  <c:v>24</c:v>
                </c:pt>
                <c:pt idx="8">
                  <c:v>13</c:v>
                </c:pt>
                <c:pt idx="9">
                  <c:v>9.9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8</c:v>
                </c:pt>
              </c:strCache>
            </c:strRef>
          </c:tx>
          <c:spPr>
            <a:solidFill>
              <a:srgbClr val="993366"/>
            </a:solidFill>
            <a:ln w="1263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Sheet1!$B$3:$K$3</c:f>
              <c:numCache>
                <c:formatCode>General</c:formatCode>
                <c:ptCount val="10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10</c:v>
                </c:pt>
              </c:strCache>
            </c:strRef>
          </c:tx>
          <c:spPr>
            <a:solidFill>
              <a:srgbClr val="FFFFCC"/>
            </a:solidFill>
            <a:ln w="1263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Sheet1!$B$4:$K$4</c:f>
              <c:numCache>
                <c:formatCode>General</c:formatCode>
                <c:ptCount val="10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pyramid"/>
        <c:axId val="122636928"/>
        <c:axId val="122642816"/>
        <c:axId val="0"/>
      </c:bar3DChart>
      <c:catAx>
        <c:axId val="1226369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47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64281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2642816"/>
        <c:scaling>
          <c:orientation val="minMax"/>
        </c:scaling>
        <c:delete val="0"/>
        <c:axPos val="l"/>
        <c:majorGridlines>
          <c:spPr>
            <a:ln w="315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47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636928"/>
        <c:crosses val="autoZero"/>
        <c:crossBetween val="between"/>
      </c:valAx>
      <c:spPr>
        <a:noFill/>
        <a:ln w="2526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547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3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6239015817223195E-2"/>
          <c:y val="3.5019455252918288E-2"/>
          <c:w val="0.7398945518453427"/>
          <c:h val="0.72762645914396884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стаж работы</c:v>
                </c:pt>
              </c:strCache>
            </c:strRef>
          </c:tx>
          <c:spPr>
            <a:solidFill>
              <a:srgbClr val="333333"/>
            </a:solidFill>
            <a:ln w="1263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 года</c:v>
                </c:pt>
                <c:pt idx="1">
                  <c:v>от 1 до 2</c:v>
                </c:pt>
                <c:pt idx="2">
                  <c:v>от 2 до 3</c:v>
                </c:pt>
                <c:pt idx="3">
                  <c:v>от3 до 5</c:v>
                </c:pt>
                <c:pt idx="4">
                  <c:v>от 5 до 10</c:v>
                </c:pt>
                <c:pt idx="5">
                  <c:v>от 10 до 20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19</c:v>
                </c:pt>
                <c:pt idx="1">
                  <c:v>22</c:v>
                </c:pt>
                <c:pt idx="2">
                  <c:v>32</c:v>
                </c:pt>
                <c:pt idx="3">
                  <c:v>10</c:v>
                </c:pt>
                <c:pt idx="4">
                  <c:v>11</c:v>
                </c:pt>
                <c:pt idx="5">
                  <c:v>24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3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 года</c:v>
                </c:pt>
                <c:pt idx="1">
                  <c:v>от 1 до 2</c:v>
                </c:pt>
                <c:pt idx="2">
                  <c:v>от 2 до 3</c:v>
                </c:pt>
                <c:pt idx="3">
                  <c:v>от3 до 5</c:v>
                </c:pt>
                <c:pt idx="4">
                  <c:v>от 5 до 10</c:v>
                </c:pt>
                <c:pt idx="5">
                  <c:v>от 10 до 20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3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 года</c:v>
                </c:pt>
                <c:pt idx="1">
                  <c:v>от 1 до 2</c:v>
                </c:pt>
                <c:pt idx="2">
                  <c:v>от 2 до 3</c:v>
                </c:pt>
                <c:pt idx="3">
                  <c:v>от3 до 5</c:v>
                </c:pt>
                <c:pt idx="4">
                  <c:v>от 5 до 10</c:v>
                </c:pt>
                <c:pt idx="5">
                  <c:v>от 10 до 20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2820096"/>
        <c:axId val="122821632"/>
        <c:axId val="122641024"/>
      </c:bar3DChart>
      <c:catAx>
        <c:axId val="1228200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1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82163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2821632"/>
        <c:scaling>
          <c:orientation val="minMax"/>
        </c:scaling>
        <c:delete val="0"/>
        <c:axPos val="l"/>
        <c:majorGridlines>
          <c:spPr>
            <a:ln w="315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1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820096"/>
        <c:crosses val="autoZero"/>
        <c:crossBetween val="between"/>
      </c:valAx>
      <c:serAx>
        <c:axId val="122641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1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821632"/>
        <c:crosses val="autoZero"/>
        <c:tickLblSkip val="2"/>
        <c:tickMarkSkip val="1"/>
      </c:serAx>
      <c:spPr>
        <a:noFill/>
        <a:ln w="25274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19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50"/>
      <c:hPercent val="19"/>
      <c:rotY val="40"/>
      <c:depthPercent val="100"/>
      <c:rAngAx val="1"/>
    </c:view3D>
    <c:floor>
      <c:thickness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4657097288676235E-2"/>
          <c:y val="6.7164179104477612E-2"/>
          <c:w val="0.93939393939393945"/>
          <c:h val="0.6791044776119402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1561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C0C0C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1"/>
            <c:invertIfNegative val="0"/>
            <c:bubble3D val="0"/>
            <c:spPr>
              <a:solidFill>
                <a:srgbClr val="969696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80808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3"/>
            <c:invertIfNegative val="0"/>
            <c:bubble3D val="0"/>
            <c:spPr>
              <a:solidFill>
                <a:srgbClr val="00330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4"/>
            <c:invertIfNegative val="0"/>
            <c:bubble3D val="0"/>
            <c:spPr>
              <a:solidFill>
                <a:srgbClr val="C0C0C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5"/>
            <c:invertIfNegative val="0"/>
            <c:bubble3D val="0"/>
            <c:spPr>
              <a:solidFill>
                <a:srgbClr val="33330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Sheet1!$B$1:$G$1</c:f>
              <c:strCache>
                <c:ptCount val="6"/>
                <c:pt idx="0">
                  <c:v>до 18 лет</c:v>
                </c:pt>
                <c:pt idx="1">
                  <c:v>от18 до19</c:v>
                </c:pt>
                <c:pt idx="2">
                  <c:v>от20 до 30</c:v>
                </c:pt>
                <c:pt idx="3">
                  <c:v>от 30 до 40</c:v>
                </c:pt>
                <c:pt idx="4">
                  <c:v>от 40 до 50</c:v>
                </c:pt>
                <c:pt idx="5">
                  <c:v>от 50 до 60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26</c:v>
                </c:pt>
                <c:pt idx="1">
                  <c:v>13</c:v>
                </c:pt>
                <c:pt idx="2">
                  <c:v>6.5</c:v>
                </c:pt>
                <c:pt idx="3">
                  <c:v>10.9</c:v>
                </c:pt>
                <c:pt idx="4">
                  <c:v>26</c:v>
                </c:pt>
                <c:pt idx="5">
                  <c:v>17.600000000000001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15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18 лет</c:v>
                </c:pt>
                <c:pt idx="1">
                  <c:v>от18 до19</c:v>
                </c:pt>
                <c:pt idx="2">
                  <c:v>от20 до 30</c:v>
                </c:pt>
                <c:pt idx="3">
                  <c:v>от 30 до 40</c:v>
                </c:pt>
                <c:pt idx="4">
                  <c:v>от 40 до 50</c:v>
                </c:pt>
                <c:pt idx="5">
                  <c:v>от 50 до 60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15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18 лет</c:v>
                </c:pt>
                <c:pt idx="1">
                  <c:v>от18 до19</c:v>
                </c:pt>
                <c:pt idx="2">
                  <c:v>от20 до 30</c:v>
                </c:pt>
                <c:pt idx="3">
                  <c:v>от 30 до 40</c:v>
                </c:pt>
                <c:pt idx="4">
                  <c:v>от 40 до 50</c:v>
                </c:pt>
                <c:pt idx="5">
                  <c:v>от 50 до 60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2892288"/>
        <c:axId val="122893824"/>
        <c:axId val="0"/>
      </c:bar3DChart>
      <c:catAx>
        <c:axId val="1228922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89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28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89382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2893824"/>
        <c:scaling>
          <c:orientation val="minMax"/>
        </c:scaling>
        <c:delete val="0"/>
        <c:axPos val="l"/>
        <c:majorGridlines>
          <c:spPr>
            <a:ln w="289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89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28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892288"/>
        <c:crosses val="autoZero"/>
        <c:crossBetween val="between"/>
      </c:valAx>
      <c:spPr>
        <a:noFill/>
        <a:ln w="23123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28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5"/>
      <c:hPercent val="20"/>
      <c:rotY val="20"/>
      <c:depthPercent val="100"/>
      <c:rAngAx val="1"/>
    </c:view3D>
    <c:floor>
      <c:thickness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5088566827697261E-2"/>
          <c:y val="6.4748201438848921E-2"/>
          <c:w val="0.93880837359098224"/>
          <c:h val="0.6906474820143885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1</c:v>
                </c:pt>
              </c:strCache>
            </c:strRef>
          </c:tx>
          <c:spPr>
            <a:solidFill>
              <a:srgbClr val="FFFF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333333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80808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invertIfNegative val="0"/>
            <c:bubble3D val="0"/>
            <c:spPr>
              <a:solidFill>
                <a:srgbClr val="C0C0C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4"/>
                <c:pt idx="0">
                  <c:v>техническая</c:v>
                </c:pt>
                <c:pt idx="1">
                  <c:v>орган</c:v>
                </c:pt>
                <c:pt idx="2">
                  <c:v>сан-гигиен</c:v>
                </c:pt>
                <c:pt idx="3">
                  <c:v>психофиз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26.2</c:v>
                </c:pt>
                <c:pt idx="1">
                  <c:v>56.4</c:v>
                </c:pt>
                <c:pt idx="2">
                  <c:v>6.5</c:v>
                </c:pt>
                <c:pt idx="3">
                  <c:v>10.9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2931456"/>
        <c:axId val="122933248"/>
        <c:axId val="0"/>
      </c:bar3DChart>
      <c:catAx>
        <c:axId val="1229314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93324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293324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931456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25"/>
      <c:hPercent val="23"/>
      <c:rotY val="30"/>
      <c:depthPercent val="290"/>
      <c:rAngAx val="1"/>
    </c:view3D>
    <c:floor>
      <c:thickness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3.9160839160839164E-2"/>
          <c:y val="4.9450549450549448E-2"/>
          <c:w val="0.94685314685314681"/>
          <c:h val="0.6813186813186813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6"/>
                <c:pt idx="1">
                  <c:v>на линии</c:v>
                </c:pt>
                <c:pt idx="2">
                  <c:v>на территории</c:v>
                </c:pt>
                <c:pt idx="3">
                  <c:v>взоне ТО-1</c:v>
                </c:pt>
                <c:pt idx="4">
                  <c:v>взонеТО-2</c:v>
                </c:pt>
                <c:pt idx="5">
                  <c:v>в цехах</c:v>
                </c:pt>
              </c:strCache>
            </c:strRef>
          </c:cat>
          <c:val>
            <c:numRef>
              <c:f>Sheet1!$B$2:$H$2</c:f>
              <c:numCache>
                <c:formatCode>General</c:formatCode>
                <c:ptCount val="7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6"/>
                <c:pt idx="1">
                  <c:v>на линии</c:v>
                </c:pt>
                <c:pt idx="2">
                  <c:v>на территории</c:v>
                </c:pt>
                <c:pt idx="3">
                  <c:v>взоне ТО-1</c:v>
                </c:pt>
                <c:pt idx="4">
                  <c:v>взонеТО-2</c:v>
                </c:pt>
                <c:pt idx="5">
                  <c:v>в цехах</c:v>
                </c:pt>
              </c:strCache>
            </c:strRef>
          </c:cat>
          <c:val>
            <c:numRef>
              <c:f>Sheet1!$B$3:$H$3</c:f>
              <c:numCache>
                <c:formatCode>General</c:formatCode>
                <c:ptCount val="7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6"/>
                <c:pt idx="1">
                  <c:v>на линии</c:v>
                </c:pt>
                <c:pt idx="2">
                  <c:v>на территории</c:v>
                </c:pt>
                <c:pt idx="3">
                  <c:v>взоне ТО-1</c:v>
                </c:pt>
                <c:pt idx="4">
                  <c:v>взонеТО-2</c:v>
                </c:pt>
                <c:pt idx="5">
                  <c:v>в цехах</c:v>
                </c:pt>
              </c:strCache>
            </c:strRef>
          </c:cat>
          <c:val>
            <c:numRef>
              <c:f>Sheet1!$B$4:$H$4</c:f>
              <c:numCache>
                <c:formatCode>General</c:formatCode>
                <c:ptCount val="7"/>
              </c:numCache>
            </c:numRef>
          </c:val>
        </c:ser>
        <c:ser>
          <c:idx val="3"/>
          <c:order val="3"/>
          <c:tx>
            <c:strRef>
              <c:f>Sheet1!$A$47</c:f>
              <c:strCache>
                <c:ptCount val="1"/>
              </c:strCache>
            </c:strRef>
          </c:tx>
          <c:spPr>
            <a:solidFill>
              <a:srgbClr val="C0C0C0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333333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808080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3"/>
            <c:invertIfNegative val="0"/>
            <c:bubble3D val="0"/>
            <c:spPr>
              <a:solidFill>
                <a:srgbClr val="333333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5"/>
            <c:invertIfNegative val="0"/>
            <c:bubble3D val="0"/>
            <c:spPr>
              <a:solidFill>
                <a:srgbClr val="808080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Sheet1!$B$1:$H$1</c:f>
              <c:strCache>
                <c:ptCount val="6"/>
                <c:pt idx="1">
                  <c:v>на линии</c:v>
                </c:pt>
                <c:pt idx="2">
                  <c:v>на территории</c:v>
                </c:pt>
                <c:pt idx="3">
                  <c:v>взоне ТО-1</c:v>
                </c:pt>
                <c:pt idx="4">
                  <c:v>взонеТО-2</c:v>
                </c:pt>
                <c:pt idx="5">
                  <c:v>в цехах</c:v>
                </c:pt>
              </c:strCache>
            </c:strRef>
          </c:cat>
          <c:val>
            <c:numRef>
              <c:f>Sheet1!$B$47:$H$47</c:f>
              <c:numCache>
                <c:formatCode>General</c:formatCode>
                <c:ptCount val="7"/>
                <c:pt idx="0">
                  <c:v>32.6</c:v>
                </c:pt>
                <c:pt idx="1">
                  <c:v>21.7</c:v>
                </c:pt>
                <c:pt idx="2">
                  <c:v>14.5</c:v>
                </c:pt>
                <c:pt idx="3">
                  <c:v>15.2</c:v>
                </c:pt>
                <c:pt idx="4">
                  <c:v>17.399999999999999</c:v>
                </c:pt>
                <c:pt idx="5">
                  <c:v>6.5</c:v>
                </c:pt>
                <c:pt idx="6">
                  <c:v>2.2999999999999998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gapDepth val="0"/>
        <c:shape val="box"/>
        <c:axId val="122871168"/>
        <c:axId val="122954880"/>
        <c:axId val="0"/>
      </c:bar3DChart>
      <c:catAx>
        <c:axId val="1228711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954880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2295488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871168"/>
        <c:crosses val="autoZero"/>
        <c:crossBetween val="between"/>
      </c:valAx>
      <c:spPr>
        <a:noFill/>
        <a:ln w="25398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25"/>
      <c:hPercent val="27"/>
      <c:rotY val="30"/>
      <c:depthPercent val="18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4374009508716325E-2"/>
          <c:y val="4.9450549450549448E-2"/>
          <c:w val="0.93977812995245646"/>
          <c:h val="0.7637362637362636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FFFF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Pt>
            <c:idx val="1"/>
            <c:invertIfNegative val="0"/>
            <c:bubble3D val="0"/>
            <c:spPr>
              <a:solidFill>
                <a:srgbClr val="80808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C0C0C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invertIfNegative val="0"/>
            <c:bubble3D val="0"/>
            <c:spPr>
              <a:solidFill>
                <a:srgbClr val="333333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5"/>
            <c:invertIfNegative val="0"/>
            <c:bubble3D val="0"/>
            <c:spPr>
              <a:solidFill>
                <a:srgbClr val="80808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Sheet1!$B$1:$G$1</c:f>
              <c:strCache>
                <c:ptCount val="6"/>
                <c:pt idx="0">
                  <c:v>голова</c:v>
                </c:pt>
                <c:pt idx="1">
                  <c:v>туловище</c:v>
                </c:pt>
                <c:pt idx="2">
                  <c:v>рука пр</c:v>
                </c:pt>
                <c:pt idx="3">
                  <c:v>рука лев</c:v>
                </c:pt>
                <c:pt idx="4">
                  <c:v>нога пр</c:v>
                </c:pt>
                <c:pt idx="5">
                  <c:v>нога лев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9.6</c:v>
                </c:pt>
                <c:pt idx="1">
                  <c:v>17.600000000000001</c:v>
                </c:pt>
                <c:pt idx="2">
                  <c:v>24.8</c:v>
                </c:pt>
                <c:pt idx="3">
                  <c:v>24</c:v>
                </c:pt>
                <c:pt idx="4">
                  <c:v>12.8</c:v>
                </c:pt>
                <c:pt idx="5">
                  <c:v>11.2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голова</c:v>
                </c:pt>
                <c:pt idx="1">
                  <c:v>туловище</c:v>
                </c:pt>
                <c:pt idx="2">
                  <c:v>рука пр</c:v>
                </c:pt>
                <c:pt idx="3">
                  <c:v>рука лев</c:v>
                </c:pt>
                <c:pt idx="4">
                  <c:v>нога пр</c:v>
                </c:pt>
                <c:pt idx="5">
                  <c:v>нога лев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голова</c:v>
                </c:pt>
                <c:pt idx="1">
                  <c:v>туловище</c:v>
                </c:pt>
                <c:pt idx="2">
                  <c:v>рука пр</c:v>
                </c:pt>
                <c:pt idx="3">
                  <c:v>рука лев</c:v>
                </c:pt>
                <c:pt idx="4">
                  <c:v>нога пр</c:v>
                </c:pt>
                <c:pt idx="5">
                  <c:v>нога лев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gapDepth val="0"/>
        <c:shape val="box"/>
        <c:axId val="123203584"/>
        <c:axId val="123205120"/>
        <c:axId val="0"/>
      </c:bar3DChart>
      <c:catAx>
        <c:axId val="1232035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320512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320512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3203584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45"/>
      <c:hPercent val="37"/>
      <c:rotY val="40"/>
      <c:depthPercent val="100"/>
      <c:rAngAx val="1"/>
    </c:view3D>
    <c:floor>
      <c:thickness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3593004769475353E-2"/>
          <c:y val="4.0322580645161289E-2"/>
          <c:w val="0.92050874403815586"/>
          <c:h val="0.7943548387096773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C0C0C0"/>
            </a:solidFill>
            <a:ln w="12697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333333"/>
              </a:solidFill>
              <a:ln w="12697">
                <a:solidFill>
                  <a:srgbClr val="000000"/>
                </a:solidFill>
                <a:prstDash val="solid"/>
              </a:ln>
            </c:spPr>
          </c:dPt>
          <c:dPt>
            <c:idx val="1"/>
            <c:invertIfNegative val="0"/>
            <c:bubble3D val="0"/>
            <c:spPr>
              <a:solidFill>
                <a:srgbClr val="808080"/>
              </a:solidFill>
              <a:ln w="12697">
                <a:solidFill>
                  <a:srgbClr val="000000"/>
                </a:solidFill>
                <a:prstDash val="solid"/>
              </a:ln>
            </c:spPr>
          </c:dPt>
          <c:dPt>
            <c:idx val="5"/>
            <c:invertIfNegative val="0"/>
            <c:bubble3D val="0"/>
            <c:spPr>
              <a:solidFill>
                <a:srgbClr val="FFFFFF"/>
              </a:solidFill>
              <a:ln w="12697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Sheet1!$B$1:$G$1</c:f>
              <c:strCache>
                <c:ptCount val="6"/>
                <c:pt idx="0">
                  <c:v>водитель</c:v>
                </c:pt>
                <c:pt idx="1">
                  <c:v>слесарь</c:v>
                </c:pt>
                <c:pt idx="2">
                  <c:v>техник</c:v>
                </c:pt>
                <c:pt idx="3">
                  <c:v>сварщик</c:v>
                </c:pt>
                <c:pt idx="4">
                  <c:v>столяр</c:v>
                </c:pt>
                <c:pt idx="5">
                  <c:v>моляр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88.8</c:v>
                </c:pt>
                <c:pt idx="1">
                  <c:v>6.4</c:v>
                </c:pt>
                <c:pt idx="2">
                  <c:v>1.6</c:v>
                </c:pt>
                <c:pt idx="3">
                  <c:v>1.6</c:v>
                </c:pt>
                <c:pt idx="4">
                  <c:v>1.6</c:v>
                </c:pt>
                <c:pt idx="5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водитель</c:v>
                </c:pt>
                <c:pt idx="1">
                  <c:v>слесарь</c:v>
                </c:pt>
                <c:pt idx="2">
                  <c:v>техник</c:v>
                </c:pt>
                <c:pt idx="3">
                  <c:v>сварщик</c:v>
                </c:pt>
                <c:pt idx="4">
                  <c:v>столяр</c:v>
                </c:pt>
                <c:pt idx="5">
                  <c:v>моляр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водитель</c:v>
                </c:pt>
                <c:pt idx="1">
                  <c:v>слесарь</c:v>
                </c:pt>
                <c:pt idx="2">
                  <c:v>техник</c:v>
                </c:pt>
                <c:pt idx="3">
                  <c:v>сварщик</c:v>
                </c:pt>
                <c:pt idx="4">
                  <c:v>столяр</c:v>
                </c:pt>
                <c:pt idx="5">
                  <c:v>моляр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2724736"/>
        <c:axId val="122726272"/>
        <c:axId val="0"/>
      </c:bar3DChart>
      <c:catAx>
        <c:axId val="122724736"/>
        <c:scaling>
          <c:orientation val="minMax"/>
        </c:scaling>
        <c:delete val="0"/>
        <c:axPos val="b"/>
        <c:majorGridlines>
          <c:spPr>
            <a:ln w="317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low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72627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2726272"/>
        <c:scaling>
          <c:orientation val="minMax"/>
        </c:scaling>
        <c:delete val="0"/>
        <c:axPos val="l"/>
        <c:majorGridlines>
          <c:spPr>
            <a:ln w="3174">
              <a:solidFill>
                <a:srgbClr val="000000"/>
              </a:solidFill>
              <a:prstDash val="solid"/>
            </a:ln>
          </c:spPr>
        </c:majorGridlines>
        <c:numFmt formatCode="General" sourceLinked="0"/>
        <c:majorTickMark val="out"/>
        <c:minorTickMark val="none"/>
        <c:tickLblPos val="nextTo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22724736"/>
        <c:crosses val="autoZero"/>
        <c:crossBetween val="between"/>
      </c:valAx>
      <c:spPr>
        <a:noFill/>
        <a:ln w="25393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1872</Words>
  <Characters>10671</Characters>
  <Application>Microsoft Office Word</Application>
  <DocSecurity>0</DocSecurity>
  <Lines>88</Lines>
  <Paragraphs>25</Paragraphs>
  <ScaleCrop>false</ScaleCrop>
  <Company>diakov.net</Company>
  <LinksUpToDate>false</LinksUpToDate>
  <CharactersWithSpaces>12518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2020-11-18T15:17:00Z</dcterms:created>
  <dcterms:modified xsi:type="dcterms:W3CDTF">2022-01-22T11:43:00Z</dcterms:modified>
</cp:coreProperties>
</file>